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1BC97EE5" w:rsidR="005418F4" w:rsidRPr="005418F4" w:rsidRDefault="00321AAC" w:rsidP="005418F4">
                <w:pPr>
                  <w:spacing w:after="250"/>
                  <w:rPr>
                    <w:rFonts w:ascii="Arial" w:eastAsiaTheme="minorEastAsia" w:hAnsi="Arial" w:cs="Arial"/>
                    <w:color w:val="808080"/>
                    <w:szCs w:val="20"/>
                  </w:rPr>
                </w:pPr>
                <w:r>
                  <w:rPr>
                    <w:rFonts w:ascii="Arial" w:eastAsiaTheme="minorEastAsia" w:hAnsi="Arial" w:cs="Arial"/>
                    <w:color w:val="808080"/>
                    <w:szCs w:val="20"/>
                  </w:rPr>
                  <w:t>Association of Real Estate Funds (AREF)</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183764E5"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321AAC">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5CE553F4" w:rsidR="005418F4" w:rsidRPr="005418F4" w:rsidRDefault="00321AAC"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4BEFAF1D" w:rsidR="005418F4" w:rsidRPr="005418F4" w:rsidRDefault="00321AAC"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UK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1DFE558D" w:rsidR="009C41BB" w:rsidRDefault="009C41BB" w:rsidP="009C41BB">
      <w:permStart w:id="1348034591" w:edGrp="everyone"/>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w:t>
      </w:r>
      <w:r>
        <w:lastRenderedPageBreak/>
        <w:t>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xml:space="preserve">: For real estate assets, do you </w:t>
      </w:r>
      <w:proofErr w:type="gramStart"/>
      <w:r>
        <w:t>consider</w:t>
      </w:r>
      <w:proofErr w:type="gramEnd"/>
      <w:r>
        <w:t xml:space="preserve">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5EEAF375" w:rsidR="009C41BB" w:rsidRDefault="00321AAC" w:rsidP="009C41BB">
      <w:permStart w:id="887372501" w:edGrp="everyone"/>
      <w:r w:rsidRPr="00321AAC">
        <w:t>We do not believe that any PAI indicator related to social matters should be applied to the entity in charge of the management of the real estate assets that the financial market participant (FMP) invested in. It would be sufficient to require the FMP to apply social PAI indicators.</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lastRenderedPageBreak/>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5E79D5DA" w14:textId="77777777" w:rsidR="00640E51" w:rsidRDefault="00640E51" w:rsidP="00640E51">
      <w:permStart w:id="1335120249" w:edGrp="everyone"/>
      <w:r>
        <w:t xml:space="preserve">We agree, for real estate assets, the definition of PAI indicator 22 of Table 1 should be adjusted </w:t>
      </w:r>
      <w:proofErr w:type="gramStart"/>
      <w:r>
        <w:t>in order to</w:t>
      </w:r>
      <w:proofErr w:type="gramEnd"/>
      <w:r>
        <w:t xml:space="preserve"> align it with the EU Taxonomy criteria applicable to the DNSH of the climate change mitigation objective under the climate change adaptation objective. </w:t>
      </w:r>
    </w:p>
    <w:p w14:paraId="030E05BC" w14:textId="77777777" w:rsidR="00640E51" w:rsidRDefault="00640E51" w:rsidP="00640E51">
      <w:r>
        <w:t xml:space="preserve">Although, aligning the definition will not address the problem of using EPCs.  We believe that it is imperative, as </w:t>
      </w:r>
      <w:proofErr w:type="gramStart"/>
      <w:r>
        <w:t>an</w:t>
      </w:r>
      <w:proofErr w:type="gramEnd"/>
      <w:r>
        <w:t xml:space="preserve"> foundation for progress, that the EPC methodology and ratings be harmonised across the EEA as required under the recast European Energy Performance of Buildings Directive and that an EPC methodology is defined on actual in-use (as opposed to theoretical) operational emissions.  </w:t>
      </w:r>
    </w:p>
    <w:p w14:paraId="2D0764CF" w14:textId="77777777" w:rsidR="009152D1" w:rsidRDefault="00640E51" w:rsidP="009152D1">
      <w:r>
        <w:t>AREF were co-sponsors, with INREV and the Investment Property Forum (IPF), of the Real Estate Solutions Paper</w:t>
      </w:r>
      <w:r>
        <w:t xml:space="preserve"> </w:t>
      </w:r>
      <w:r w:rsidR="00935933">
        <w:rPr>
          <w:color w:val="365F91"/>
        </w:rPr>
        <w:t>(</w:t>
      </w:r>
      <w:hyperlink r:id="rId15" w:history="1">
        <w:r w:rsidR="00935933">
          <w:rPr>
            <w:rStyle w:val="Hyperlink"/>
          </w:rPr>
          <w:t>SFDR-Real-Estate-Solutions-Paper7-June-2023.pdf (aref.org.uk)</w:t>
        </w:r>
      </w:hyperlink>
      <w:r w:rsidR="00935933">
        <w:t>)</w:t>
      </w:r>
      <w:r w:rsidR="00935933">
        <w:t xml:space="preserve"> </w:t>
      </w:r>
      <w:r w:rsidR="009152D1">
        <w:t>which provides proposals for solving challenges arising from SFDR for real estate investments. We support the request for guidance in the Real Estate Solutions Paper  as soon as practicable on how to apply:</w:t>
      </w:r>
    </w:p>
    <w:p w14:paraId="0FB330B8" w14:textId="77777777" w:rsidR="009152D1" w:rsidRDefault="009152D1" w:rsidP="009152D1">
      <w:r>
        <w:t>- the Energy Efficient Buildings PAI to the different methodologies / ratings of the EPC in each EEA member state.</w:t>
      </w:r>
    </w:p>
    <w:p w14:paraId="6860BC50" w14:textId="77777777" w:rsidR="009152D1" w:rsidRDefault="009152D1" w:rsidP="009152D1">
      <w:r>
        <w:t>- the PAI to countries outside of the EEA where the EPC does not exist and where NZEB is not in effect</w:t>
      </w:r>
    </w:p>
    <w:p w14:paraId="0F9A5495" w14:textId="62252F1D" w:rsidR="009C41BB" w:rsidRDefault="009152D1" w:rsidP="009152D1">
      <w:r>
        <w:t>Also, as indicated in the Real Estate Solutions Paper,   it is vital that when disclosing emissions between real estate assets, particularly between existing and newly constructed buildings, that new embodied emissions are considered with operational emissions to enable a valid comparison of total emissions. Focusing on operational emissions only has the potential to mis-signal to some investors that new buildings that are close to net zero are more beneficial and deter the rejuvenation of existing buildings.</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lastRenderedPageBreak/>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662B97CF" w:rsidR="009C41BB" w:rsidRDefault="00673432" w:rsidP="009C41BB">
      <w:permStart w:id="1228814638" w:edGrp="everyone"/>
      <w:r w:rsidRPr="00673432">
        <w:t>We do not believe that it is necessary to extend the scope of the provisions of point g of paragraph 1 of Article 17 of the SFDR Delegated Regulation to asset classes other than equity and sovereign exposures. The reason for this is that point d of paragraph 1 of Article 17 of the SFDR Delegated Regulation already relates to real estate.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4C34F5C1" w14:textId="77777777" w:rsidR="00F4170D" w:rsidRDefault="00F4170D" w:rsidP="00F4170D">
      <w:permStart w:id="791154279" w:edGrp="everyone"/>
      <w:r>
        <w:t xml:space="preserve">In the main, we believe that the ESAs’ assessment of the DNSH framework under SFDR is generally correct. </w:t>
      </w:r>
    </w:p>
    <w:p w14:paraId="26C4DD5C" w14:textId="77777777" w:rsidR="00F4170D" w:rsidRDefault="00F4170D" w:rsidP="00F4170D">
      <w:r>
        <w:t xml:space="preserve">However, it would be extremely helpful to confirm whether real estate assets with a carbon reduction objective under SFDR Article 9.3 qualify as “Sustainable Investments”. This should provide clarity on whether they fall under the “safe harbour”, meet the minimum eligibility requirements defined by the SFDR for real estate assets, without having to meet DNSH criteria </w:t>
      </w:r>
      <w:proofErr w:type="gramStart"/>
      <w:r>
        <w:t>with regard to</w:t>
      </w:r>
      <w:proofErr w:type="gramEnd"/>
      <w:r>
        <w:t xml:space="preserve"> the fossil fuel exposure and inefficient building criteria (EPC of C or below or not meeting NZEB requirements) and disclose PAI indicators. These assets could simply monitor DNSH and disclose PAI indicators. </w:t>
      </w:r>
    </w:p>
    <w:p w14:paraId="7DDA6D60" w14:textId="696CC9A4" w:rsidR="009C41BB" w:rsidRDefault="00F4170D" w:rsidP="00F4170D">
      <w:r>
        <w:t>This interpretation would create a means for many real estate transition funds that buy energy inefficient buildings with an EPC label F, for example, and upgrade them to EPC label A or B, to disclose under the provisions of SFDR Article 9.3. This would make it much easier to attract capital from investors keen to financially support achievement of the Paris Agreement’s carbon reduction goals, which is critically needed.</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2FD39EF6" w14:textId="77777777" w:rsidR="002A0AEC" w:rsidRDefault="002A0AEC" w:rsidP="002A0AEC">
      <w:permStart w:id="984368250" w:edGrp="everyone"/>
      <w:r>
        <w:t xml:space="preserve">We do not believe that mandatory disclosures about the quantitative thresholds FMPs use to </w:t>
      </w:r>
      <w:proofErr w:type="gramStart"/>
      <w:r>
        <w:t>take into account</w:t>
      </w:r>
      <w:proofErr w:type="gramEnd"/>
      <w:r>
        <w:t xml:space="preserve"> the PAI indicators for DNSH purposes would be at all helpful. Transparency about how FMPs meet  the criteria for the PAI indicators for DNSH purposes would be much more helpful than thresholds. </w:t>
      </w:r>
    </w:p>
    <w:p w14:paraId="6BBD22C7" w14:textId="648620F3" w:rsidR="009C41BB" w:rsidRDefault="002A0AEC" w:rsidP="002A0AEC">
      <w:r>
        <w:t xml:space="preserve">We would prefer to see more guidance provided concerning how FMPs should determine the PAI indicators for DNSH purposes; for </w:t>
      </w:r>
      <w:proofErr w:type="gramStart"/>
      <w:r>
        <w:t>example</w:t>
      </w:r>
      <w:proofErr w:type="gramEnd"/>
      <w:r>
        <w:t xml:space="preserve"> guidance in this regard for real estate loans would be helpful.</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lastRenderedPageBreak/>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361EF987" w:rsidR="009C41BB" w:rsidRDefault="0022731F" w:rsidP="009C41BB">
      <w:permStart w:id="403253184" w:edGrp="everyone"/>
      <w:r w:rsidRPr="0022731F">
        <w:t>We support the introduction of an optional “safe harbour” for environmental DNSH for taxonomy-aligned activities, especially if clarity can be provided as we outlined in our response to Question 17 above.  This would make it much easier to attract capital from investor keen to financially support achievement of the Paris Agreement’s carbon reduction goals, which is critically needed.</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11146AE0" w14:textId="77777777" w:rsidR="00B51E76" w:rsidRDefault="00B51E76" w:rsidP="00B51E76">
      <w:permStart w:id="10765956" w:edGrp="everyone"/>
      <w:r>
        <w:t xml:space="preserve">If the criteria are clear and unambiguous, using the Taxonomy TSCs to form the basis of the DNSH assessment could lead to less risk of greenwashing, either purposeful or inadvertent. </w:t>
      </w:r>
    </w:p>
    <w:p w14:paraId="01E16D6A" w14:textId="5754D1CA" w:rsidR="009C41BB" w:rsidRDefault="00B51E76" w:rsidP="00B51E76">
      <w:r>
        <w:t>However, the unintended consequences of not being able to classify investment into a building that is EPC C or below, with the expressed intention of uplifting it to B or above, remains. This is a major failing of the regulation that will disincentive investment into the transformation of buildings from stranded to green.</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6565BC89" w:rsidR="009C41BB" w:rsidRDefault="00312924" w:rsidP="009C41BB">
      <w:permStart w:id="1098926409" w:edGrp="everyone"/>
      <w:r w:rsidRPr="00312924">
        <w:t>As indicated in the AREF, INREV and IPF sponsored SFDR Real Estate Solutions Paper</w:t>
      </w:r>
      <w:r>
        <w:t xml:space="preserve"> </w:t>
      </w:r>
      <w:r w:rsidR="00931172" w:rsidRPr="004B1CAE">
        <w:rPr>
          <w:rFonts w:eastAsia="Arial" w:cs="Arial"/>
          <w:color w:val="365F91"/>
        </w:rPr>
        <w:t>(</w:t>
      </w:r>
      <w:hyperlink r:id="rId16" w:history="1">
        <w:r w:rsidR="00931172">
          <w:rPr>
            <w:rStyle w:val="Hyperlink"/>
          </w:rPr>
          <w:t>SFDR-Real-Estate-Solutions-Paper7-June-2023.pdf (aref.org.uk)</w:t>
        </w:r>
      </w:hyperlink>
      <w:r w:rsidR="00931172" w:rsidRPr="004B1CAE">
        <w:rPr>
          <w:color w:val="365F91"/>
        </w:rPr>
        <w:t>)</w:t>
      </w:r>
      <w:r w:rsidR="00AC2F06">
        <w:rPr>
          <w:color w:val="365F91"/>
        </w:rPr>
        <w:t xml:space="preserve">, </w:t>
      </w:r>
      <w:r w:rsidR="00692C7B" w:rsidRPr="00692C7B">
        <w:rPr>
          <w:color w:val="365F91"/>
        </w:rPr>
        <w:t xml:space="preserve">other options should be considered for the SFDR Delegated Regulation DNSH disclosures for real estate to reduce the risk of greenwashing and increase comparability. These include providing more guidance on how to apply rules related to the use of EPCs, guidance on determining exposure to fossil fuels, use of pre- and post-31 December 2020 standards for determining inefficient real estate assets, mandating publicly available data to support operational emissions </w:t>
      </w:r>
      <w:proofErr w:type="gramStart"/>
      <w:r w:rsidR="00692C7B" w:rsidRPr="00692C7B">
        <w:rPr>
          <w:color w:val="365F91"/>
        </w:rPr>
        <w:t>disclosures</w:t>
      </w:r>
      <w:proofErr w:type="gramEnd"/>
      <w:r w:rsidR="00692C7B" w:rsidRPr="00692C7B">
        <w:rPr>
          <w:color w:val="365F91"/>
        </w:rPr>
        <w:t xml:space="preserve"> and including embedded carbon in the DNSH screen.</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00324BA9" w:rsidR="009C41BB" w:rsidRDefault="005E3544" w:rsidP="009C41BB">
      <w:permStart w:id="2084635173" w:edGrp="everyone"/>
      <w:r w:rsidRPr="005E3544">
        <w:t>We believe that the proposed disclosures aim to strike a reasonable balance between the need for clear, reliable, decision-useful information for investors and the need to keep requirements feasible and proportional for FMPs. However, there is some room for improvement, as we have set out in our responses to Questions 17 and 21.</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lastRenderedPageBreak/>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0D4E1E0F" w:rsidR="009C41BB" w:rsidRDefault="00E65B65" w:rsidP="009C41BB">
      <w:permStart w:id="324808106" w:edGrp="everyone"/>
      <w:r w:rsidRPr="00E65B65">
        <w:t>We understand that the PCAF standards do not work very well for direct real estate investment but there are not any other standards, such as SBTi’s real estate pathway and the BBP framework, that would work any better. Hopefully, over time, suitable standards will be developed.</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lastRenderedPageBreak/>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xml:space="preserve">: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w:t>
      </w:r>
      <w:proofErr w:type="gramStart"/>
      <w:r>
        <w:t>you</w:t>
      </w:r>
      <w:proofErr w:type="gramEnd"/>
      <w:r>
        <w:t xml:space="preserve">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lastRenderedPageBreak/>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lastRenderedPageBreak/>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032F807E" w14:textId="77777777" w:rsidR="00134E1F" w:rsidRDefault="00D52525" w:rsidP="00134E1F">
      <w:permStart w:id="1477927507" w:edGrp="everyone"/>
      <w:r w:rsidRPr="00D52525">
        <w:t xml:space="preserve">In January 2023, several real estate associations updated a </w:t>
      </w:r>
      <w:proofErr w:type="spellStart"/>
      <w:r w:rsidRPr="00D52525">
        <w:t>jpint</w:t>
      </w:r>
      <w:proofErr w:type="spellEnd"/>
      <w:r w:rsidRPr="00D52525">
        <w:t xml:space="preserve"> paper on ESG Metrics For Real Estate</w:t>
      </w:r>
      <w:r w:rsidR="00134E1F">
        <w:t xml:space="preserve"> </w:t>
      </w:r>
      <w:r w:rsidR="00134E1F">
        <w:rPr>
          <w:color w:val="365F91"/>
        </w:rPr>
        <w:t>(</w:t>
      </w:r>
      <w:hyperlink r:id="rId17" w:history="1">
        <w:r w:rsidR="00134E1F" w:rsidRPr="00BE422B">
          <w:rPr>
            <w:rStyle w:val="Hyperlink"/>
          </w:rPr>
          <w:t>https://www.aref.org.uk/uploads/assets/40b88c44-cd3f-4c90-9b19d672c6c56b55/Submission-to-FCATCFDISSB-Proposals-ESG-Metrics-for-Real-Estate13-January-2023.pdf</w:t>
        </w:r>
      </w:hyperlink>
      <w:r w:rsidR="00134E1F">
        <w:t>).</w:t>
      </w:r>
    </w:p>
    <w:p w14:paraId="00CE4197" w14:textId="77777777" w:rsidR="007271A3" w:rsidRDefault="007271A3" w:rsidP="007271A3">
      <w:r>
        <w:t xml:space="preserve">We would ask the ESAs to recommend the adoption of sector-specific environmental and social metrics for real estate as proposed in the ESG Metrics </w:t>
      </w:r>
      <w:proofErr w:type="gramStart"/>
      <w:r>
        <w:t>For</w:t>
      </w:r>
      <w:proofErr w:type="gramEnd"/>
      <w:r>
        <w:t xml:space="preserve"> Real Estate paper. The aim of the proposals </w:t>
      </w:r>
      <w:proofErr w:type="gramStart"/>
      <w:r>
        <w:t>are</w:t>
      </w:r>
      <w:proofErr w:type="gramEnd"/>
      <w:r>
        <w:t xml:space="preserve"> to achieve consistency, comparability and a holistic ESG view – applying decision-useful, robust, transparent, quantifiable, measurable, objective, trackable, and verifiable thresholds and criteria applicable to real estate and aligned to TCFD, SDR, SFDR reporting and disclosure requirements on climate and sustainability and evidence suitability. They are also aligned with INREV’s Sustainability Reporting Guidelines, which awe understand are a widely adopted industry standard, both in Europe and elsewhere.</w:t>
      </w:r>
    </w:p>
    <w:p w14:paraId="5916FA23" w14:textId="03B6FA2D" w:rsidR="009C41BB" w:rsidRDefault="007271A3" w:rsidP="007271A3">
      <w:r>
        <w:t>These recommended metrics were submitted to the UK FCA in response to its request for public input to the UK’s Sustainable Disclosures Requirements proposal.</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093FAB26" w:rsidR="009C41BB" w:rsidRDefault="00453F50" w:rsidP="009C41BB">
      <w:permStart w:id="1880105875" w:edGrp="everyone"/>
      <w:r w:rsidRPr="00453F50">
        <w:t>We do not see a need to set out specific rules on the calculation of the proportion of sustainable investments of financial products. However, if adopted, a “comply or explain” requirement should be used as specific rules could be difficult for real estate transition strategies to comply with. The reason for this is that the calculation of the proportion of sustainable investments of financial products would be constantly changing as real estate assets are retrofitted and achieving higher EPC ratings, resulting in the proportion of sustainable investments therefore being continually in flux.</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lastRenderedPageBreak/>
        <w:t>: Do you agree that cross-</w:t>
      </w:r>
      <w:proofErr w:type="gramStart"/>
      <w:r>
        <w:t>referencing in</w:t>
      </w:r>
      <w:proofErr w:type="gramEnd"/>
      <w:r>
        <w:t xml:space="preserve">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lastRenderedPageBreak/>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8"/>
      <w:headerReference w:type="default" r:id="rId19"/>
      <w:footerReference w:type="even" r:id="rId20"/>
      <w:footerReference w:type="default" r:id="rId21"/>
      <w:headerReference w:type="first" r:id="rId22"/>
      <w:footerReference w:type="first" r:id="rId23"/>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B463" w14:textId="77777777" w:rsidR="00B25CD8" w:rsidRDefault="00B25CD8" w:rsidP="00707738">
      <w:pPr>
        <w:spacing w:after="0" w:line="240" w:lineRule="auto"/>
      </w:pPr>
      <w:r>
        <w:separator/>
      </w:r>
    </w:p>
  </w:endnote>
  <w:endnote w:type="continuationSeparator" w:id="0">
    <w:p w14:paraId="37391D68" w14:textId="77777777" w:rsidR="00B25CD8" w:rsidRDefault="00B25CD8"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AA38" w14:textId="77777777" w:rsidR="00B25CD8" w:rsidRDefault="00B25CD8" w:rsidP="00707738">
      <w:pPr>
        <w:spacing w:after="0" w:line="240" w:lineRule="auto"/>
      </w:pPr>
      <w:r>
        <w:separator/>
      </w:r>
    </w:p>
  </w:footnote>
  <w:footnote w:type="continuationSeparator" w:id="0">
    <w:p w14:paraId="145D4444" w14:textId="77777777" w:rsidR="00B25CD8" w:rsidRDefault="00B25CD8"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1F"/>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31F"/>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0AEC"/>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24"/>
    <w:rsid w:val="00312973"/>
    <w:rsid w:val="00314878"/>
    <w:rsid w:val="003149D4"/>
    <w:rsid w:val="00314A34"/>
    <w:rsid w:val="003169AC"/>
    <w:rsid w:val="00321A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3F50"/>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3544"/>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0E51"/>
    <w:rsid w:val="00647BF8"/>
    <w:rsid w:val="00656701"/>
    <w:rsid w:val="00656753"/>
    <w:rsid w:val="00657D98"/>
    <w:rsid w:val="00657F93"/>
    <w:rsid w:val="00661297"/>
    <w:rsid w:val="00663F03"/>
    <w:rsid w:val="00671DC9"/>
    <w:rsid w:val="006727C3"/>
    <w:rsid w:val="00672A40"/>
    <w:rsid w:val="00673304"/>
    <w:rsid w:val="00673432"/>
    <w:rsid w:val="006769D9"/>
    <w:rsid w:val="00677CA7"/>
    <w:rsid w:val="00677FC6"/>
    <w:rsid w:val="006822CF"/>
    <w:rsid w:val="00682F93"/>
    <w:rsid w:val="006830F3"/>
    <w:rsid w:val="00683352"/>
    <w:rsid w:val="00683DD4"/>
    <w:rsid w:val="00684098"/>
    <w:rsid w:val="00687BAA"/>
    <w:rsid w:val="006905AA"/>
    <w:rsid w:val="00692152"/>
    <w:rsid w:val="00692C7B"/>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271A3"/>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2D1"/>
    <w:rsid w:val="00915AB2"/>
    <w:rsid w:val="00915B9C"/>
    <w:rsid w:val="00923DDC"/>
    <w:rsid w:val="00924ADE"/>
    <w:rsid w:val="009256F5"/>
    <w:rsid w:val="00925DDA"/>
    <w:rsid w:val="00926FED"/>
    <w:rsid w:val="0093007F"/>
    <w:rsid w:val="00931172"/>
    <w:rsid w:val="00935933"/>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2F06"/>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5CD8"/>
    <w:rsid w:val="00B26885"/>
    <w:rsid w:val="00B31E1B"/>
    <w:rsid w:val="00B329F8"/>
    <w:rsid w:val="00B32FA4"/>
    <w:rsid w:val="00B4705A"/>
    <w:rsid w:val="00B51E76"/>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52525"/>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B65"/>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170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hyperlink" Target="https://www.aref.org.uk/uploads/assets/40b88c44-cd3f-4c90-9b19d672c6c56b55/Submission-to-FCATCFDISSB-Proposals-ESG-Metrics-for-Real-Estate13-January-202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ef.org.uk/uploads/assets/9e2362c2-fd25-4382-9a7839be89ec3046/SFDR-Real-Estate-Solutions-Paper7-June-20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ef.org.uk/uploads/assets/9e2362c2-fd25-4382-9a7839be89ec3046/SFDR-Real-Estate-Solutions-Paper7-June-2023.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c51814d-996c-4eb1-a29d-985085e523c2" xsi:nil="true"/>
    <lcf76f155ced4ddcb4097134ff3c332f xmlns="a119cbe1-fce3-4f42-b142-385e5c96a4a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F5B1BC36BA344899C4CE12452F1A1" ma:contentTypeVersion="15" ma:contentTypeDescription="Create a new document." ma:contentTypeScope="" ma:versionID="36550d5fbfee23c729a5aa0a081314a8">
  <xsd:schema xmlns:xsd="http://www.w3.org/2001/XMLSchema" xmlns:xs="http://www.w3.org/2001/XMLSchema" xmlns:p="http://schemas.microsoft.com/office/2006/metadata/properties" xmlns:ns2="a119cbe1-fce3-4f42-b142-385e5c96a4ad" xmlns:ns3="ac51814d-996c-4eb1-a29d-985085e523c2" targetNamespace="http://schemas.microsoft.com/office/2006/metadata/properties" ma:root="true" ma:fieldsID="b33430071a68120d5ee4729280d0a5ad" ns2:_="" ns3:_="">
    <xsd:import namespace="a119cbe1-fce3-4f42-b142-385e5c96a4ad"/>
    <xsd:import namespace="ac51814d-996c-4eb1-a29d-985085e523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9cbe1-fce3-4f42-b142-385e5c96a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1814d-996c-4eb1-a29d-985085e523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657e58-8938-48e1-8eea-83a84f4d4c62}" ma:internalName="TaxCatchAll" ma:showField="CatchAllData" ma:web="ac51814d-996c-4eb1-a29d-985085e523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ac51814d-996c-4eb1-a29d-985085e523c2"/>
    <ds:schemaRef ds:uri="a119cbe1-fce3-4f42-b142-385e5c96a4ad"/>
  </ds:schemaRefs>
</ds:datastoreItem>
</file>

<file path=customXml/itemProps4.xml><?xml version="1.0" encoding="utf-8"?>
<ds:datastoreItem xmlns:ds="http://schemas.openxmlformats.org/officeDocument/2006/customXml" ds:itemID="{7FF6A082-FE80-4098-B4BE-1FD8B1ECC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9cbe1-fce3-4f42-b142-385e5c96a4ad"/>
    <ds:schemaRef ds:uri="ac51814d-996c-4eb1-a29d-985085e52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JC ESAs letter 2023</Template>
  <TotalTime>7</TotalTime>
  <Pages>17</Pages>
  <Words>3690</Words>
  <Characters>21034</Characters>
  <Application>Microsoft Office Word</Application>
  <DocSecurity>0</DocSecurity>
  <Lines>175</Lines>
  <Paragraphs>49</Paragraphs>
  <ScaleCrop>false</ScaleCrop>
  <Company>HP</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Jacqui Bungay</cp:lastModifiedBy>
  <cp:revision>20</cp:revision>
  <cp:lastPrinted>2022-02-14T13:26:00Z</cp:lastPrinted>
  <dcterms:created xsi:type="dcterms:W3CDTF">2023-06-30T13:35:00Z</dcterms:created>
  <dcterms:modified xsi:type="dcterms:W3CDTF">2023-06-30T13:43:00Z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0x01010047AF5B1BC36BA344899C4CE12452F1A1</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ediaServiceImageTags">
    <vt:lpwstr/>
  </property>
</Properties>
</file>